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EFEE3" w14:textId="63ECBF59" w:rsidR="00FD6061" w:rsidRPr="00C4295B" w:rsidRDefault="00FD6061" w:rsidP="00FD6061">
      <w:pPr>
        <w:widowControl/>
        <w:shd w:val="clear" w:color="auto" w:fill="FFFFFF"/>
        <w:spacing w:line="675" w:lineRule="atLeast"/>
        <w:jc w:val="center"/>
        <w:outlineLvl w:val="0"/>
        <w:rPr>
          <w:rFonts w:ascii="方正小标宋简体" w:eastAsia="方正小标宋简体" w:hAnsi="微软雅黑" w:cs="宋体"/>
          <w:b/>
          <w:bCs/>
          <w:kern w:val="36"/>
          <w:sz w:val="40"/>
          <w:szCs w:val="45"/>
        </w:rPr>
      </w:pPr>
      <w:r w:rsidRPr="00C4295B">
        <w:rPr>
          <w:rFonts w:ascii="方正小标宋简体" w:eastAsia="方正小标宋简体" w:hAnsi="微软雅黑" w:cs="宋体" w:hint="eastAsia"/>
          <w:b/>
          <w:bCs/>
          <w:kern w:val="36"/>
          <w:sz w:val="40"/>
          <w:szCs w:val="45"/>
        </w:rPr>
        <w:t>关于202</w:t>
      </w:r>
      <w:r w:rsidR="00AE3458">
        <w:rPr>
          <w:rFonts w:ascii="方正小标宋简体" w:eastAsia="方正小标宋简体" w:hAnsi="微软雅黑" w:cs="宋体"/>
          <w:b/>
          <w:bCs/>
          <w:kern w:val="36"/>
          <w:sz w:val="40"/>
          <w:szCs w:val="45"/>
        </w:rPr>
        <w:t>4</w:t>
      </w:r>
      <w:r w:rsidRPr="00C4295B">
        <w:rPr>
          <w:rFonts w:ascii="方正小标宋简体" w:eastAsia="方正小标宋简体" w:hAnsi="微软雅黑" w:cs="宋体" w:hint="eastAsia"/>
          <w:b/>
          <w:bCs/>
          <w:kern w:val="36"/>
          <w:sz w:val="40"/>
          <w:szCs w:val="45"/>
        </w:rPr>
        <w:t>年调整退休人员基本养老金的通知</w:t>
      </w:r>
    </w:p>
    <w:p w14:paraId="30800A92" w14:textId="77777777" w:rsidR="00AE3458" w:rsidRPr="00AE3458" w:rsidRDefault="00AE3458" w:rsidP="00AE3458">
      <w:pPr>
        <w:widowControl/>
        <w:shd w:val="clear" w:color="auto" w:fill="FFFFFF"/>
        <w:spacing w:beforeLines="50" w:before="156" w:line="580" w:lineRule="exact"/>
        <w:rPr>
          <w:rFonts w:ascii="Times New Roman" w:eastAsia="宋体" w:hAnsi="Times New Roman" w:cs="Times New Roman"/>
          <w:color w:val="333333"/>
          <w:kern w:val="0"/>
          <w:szCs w:val="21"/>
        </w:rPr>
      </w:pPr>
      <w:r w:rsidRPr="00AE3458">
        <w:rPr>
          <w:rFonts w:ascii="仿宋" w:eastAsia="仿宋" w:hAnsi="仿宋" w:cs="Times New Roman" w:hint="eastAsia"/>
          <w:color w:val="333333"/>
          <w:kern w:val="0"/>
          <w:sz w:val="32"/>
          <w:szCs w:val="32"/>
        </w:rPr>
        <w:t>各市、县人民政府，省直各单位，中央驻皖有关单位：</w:t>
      </w:r>
    </w:p>
    <w:p w14:paraId="3B223D2F"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仿宋" w:eastAsia="仿宋" w:hAnsi="仿宋" w:cs="Times New Roman" w:hint="eastAsia"/>
          <w:color w:val="333333"/>
          <w:kern w:val="0"/>
          <w:sz w:val="32"/>
          <w:szCs w:val="32"/>
        </w:rPr>
        <w:t>根据人力资源社会保障部、财政部《关于2024年调整退休人员基本养老金的通知》（</w:t>
      </w:r>
      <w:proofErr w:type="gramStart"/>
      <w:r w:rsidRPr="00AE3458">
        <w:rPr>
          <w:rFonts w:ascii="仿宋" w:eastAsia="仿宋" w:hAnsi="仿宋" w:cs="Times New Roman" w:hint="eastAsia"/>
          <w:color w:val="333333"/>
          <w:kern w:val="0"/>
          <w:sz w:val="32"/>
          <w:szCs w:val="32"/>
        </w:rPr>
        <w:t>人社部</w:t>
      </w:r>
      <w:proofErr w:type="gramEnd"/>
      <w:r w:rsidRPr="00AE3458">
        <w:rPr>
          <w:rFonts w:ascii="仿宋" w:eastAsia="仿宋" w:hAnsi="仿宋" w:cs="Times New Roman" w:hint="eastAsia"/>
          <w:color w:val="333333"/>
          <w:kern w:val="0"/>
          <w:sz w:val="32"/>
          <w:szCs w:val="32"/>
        </w:rPr>
        <w:t>发〔2024〕48号）要求，经批准，从2024年1月1日起调整我省企业和机关事业单位退休人员(含退职人员，下同，以下简称退休人员)基本养老金水平。现就有关事项通知如下：</w:t>
      </w:r>
    </w:p>
    <w:p w14:paraId="2B920C1E"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黑体" w:eastAsia="黑体" w:hAnsi="黑体" w:cs="Times New Roman" w:hint="eastAsia"/>
          <w:color w:val="333333"/>
          <w:kern w:val="0"/>
          <w:sz w:val="32"/>
          <w:szCs w:val="32"/>
        </w:rPr>
        <w:t>一、调整范围</w:t>
      </w:r>
    </w:p>
    <w:p w14:paraId="1CE79EC9"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仿宋" w:eastAsia="仿宋" w:hAnsi="仿宋" w:cs="Times New Roman" w:hint="eastAsia"/>
          <w:color w:val="333333"/>
          <w:kern w:val="0"/>
          <w:sz w:val="32"/>
          <w:szCs w:val="32"/>
        </w:rPr>
        <w:t>2023年12月31日前已按规定办理退休手续并按月领取基本养老金的退休人员。</w:t>
      </w:r>
    </w:p>
    <w:p w14:paraId="7CC34E39"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黑体" w:eastAsia="黑体" w:hAnsi="黑体" w:cs="Times New Roman" w:hint="eastAsia"/>
          <w:color w:val="333333"/>
          <w:kern w:val="0"/>
          <w:sz w:val="32"/>
          <w:szCs w:val="32"/>
        </w:rPr>
        <w:t>二、调整办法</w:t>
      </w:r>
    </w:p>
    <w:p w14:paraId="6B9CCC4D"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仿宋" w:eastAsia="仿宋" w:hAnsi="仿宋" w:cs="Times New Roman" w:hint="eastAsia"/>
          <w:color w:val="333333"/>
          <w:kern w:val="0"/>
          <w:sz w:val="32"/>
          <w:szCs w:val="32"/>
        </w:rPr>
        <w:t>调整的基本养老金包括定额部分、挂钩部分和倾斜部分。</w:t>
      </w:r>
    </w:p>
    <w:p w14:paraId="79569FE1" w14:textId="77777777" w:rsidR="00AE3458" w:rsidRPr="00AE3458" w:rsidRDefault="00AE3458" w:rsidP="00AE3458">
      <w:pPr>
        <w:widowControl/>
        <w:shd w:val="clear" w:color="auto" w:fill="FFFFFF"/>
        <w:spacing w:line="580" w:lineRule="exact"/>
        <w:ind w:firstLine="643"/>
        <w:rPr>
          <w:rFonts w:ascii="Times New Roman" w:eastAsia="宋体" w:hAnsi="Times New Roman" w:cs="Times New Roman"/>
          <w:color w:val="333333"/>
          <w:kern w:val="0"/>
          <w:szCs w:val="21"/>
        </w:rPr>
      </w:pPr>
      <w:r w:rsidRPr="00AE3458">
        <w:rPr>
          <w:rFonts w:ascii="楷体" w:eastAsia="楷体" w:hAnsi="楷体" w:cs="Times New Roman" w:hint="eastAsia"/>
          <w:b/>
          <w:bCs/>
          <w:color w:val="333333"/>
          <w:kern w:val="0"/>
          <w:sz w:val="32"/>
          <w:szCs w:val="32"/>
        </w:rPr>
        <w:t>1.定额部分。</w:t>
      </w:r>
      <w:r w:rsidRPr="00AE3458">
        <w:rPr>
          <w:rFonts w:ascii="仿宋" w:eastAsia="仿宋" w:hAnsi="仿宋" w:cs="Times New Roman" w:hint="eastAsia"/>
          <w:color w:val="333333"/>
          <w:kern w:val="0"/>
          <w:sz w:val="32"/>
          <w:szCs w:val="32"/>
        </w:rPr>
        <w:t>每人每月增加28元。</w:t>
      </w:r>
    </w:p>
    <w:p w14:paraId="0B4068F6" w14:textId="77777777" w:rsidR="00AE3458" w:rsidRPr="00AE3458" w:rsidRDefault="00AE3458" w:rsidP="00AE3458">
      <w:pPr>
        <w:widowControl/>
        <w:shd w:val="clear" w:color="auto" w:fill="FFFFFF"/>
        <w:spacing w:line="580" w:lineRule="exact"/>
        <w:ind w:firstLine="643"/>
        <w:rPr>
          <w:rFonts w:ascii="Times New Roman" w:eastAsia="宋体" w:hAnsi="Times New Roman" w:cs="Times New Roman"/>
          <w:color w:val="333333"/>
          <w:kern w:val="0"/>
          <w:szCs w:val="21"/>
        </w:rPr>
      </w:pPr>
      <w:r w:rsidRPr="00AE3458">
        <w:rPr>
          <w:rFonts w:ascii="楷体" w:eastAsia="楷体" w:hAnsi="楷体" w:cs="Times New Roman" w:hint="eastAsia"/>
          <w:b/>
          <w:bCs/>
          <w:color w:val="333333"/>
          <w:kern w:val="0"/>
          <w:sz w:val="32"/>
          <w:szCs w:val="32"/>
        </w:rPr>
        <w:t>2.挂钩部分。</w:t>
      </w:r>
      <w:r w:rsidRPr="00AE3458">
        <w:rPr>
          <w:rFonts w:ascii="仿宋" w:eastAsia="仿宋" w:hAnsi="仿宋" w:cs="Times New Roman" w:hint="eastAsia"/>
          <w:b/>
          <w:bCs/>
          <w:color w:val="000000"/>
          <w:kern w:val="0"/>
          <w:sz w:val="32"/>
          <w:szCs w:val="32"/>
        </w:rPr>
        <w:t>一是</w:t>
      </w:r>
      <w:r w:rsidRPr="00AE3458">
        <w:rPr>
          <w:rFonts w:ascii="仿宋" w:eastAsia="仿宋" w:hAnsi="仿宋" w:cs="Times New Roman" w:hint="eastAsia"/>
          <w:color w:val="000000"/>
          <w:kern w:val="0"/>
          <w:sz w:val="32"/>
          <w:szCs w:val="32"/>
        </w:rPr>
        <w:t>与本人缴费年限(含视同缴费年限，不含特殊工种折算年限，尾数不足1年的按1年计算)挂钩。缴费年限在15年以内的（含15年），每月增加23元；缴费年限在15年以上的，自第16年起，每满1年每月再增加1.5元。</w:t>
      </w:r>
      <w:r w:rsidRPr="00AE3458">
        <w:rPr>
          <w:rFonts w:ascii="仿宋" w:eastAsia="仿宋" w:hAnsi="仿宋" w:cs="Times New Roman" w:hint="eastAsia"/>
          <w:b/>
          <w:bCs/>
          <w:color w:val="000000"/>
          <w:kern w:val="0"/>
          <w:sz w:val="32"/>
          <w:szCs w:val="32"/>
        </w:rPr>
        <w:t>二是</w:t>
      </w:r>
      <w:r w:rsidRPr="00AE3458">
        <w:rPr>
          <w:rFonts w:ascii="仿宋" w:eastAsia="仿宋" w:hAnsi="仿宋" w:cs="Times New Roman" w:hint="eastAsia"/>
          <w:color w:val="000000"/>
          <w:kern w:val="0"/>
          <w:sz w:val="32"/>
          <w:szCs w:val="32"/>
        </w:rPr>
        <w:t>与本人养老金水平挂钩。按本人2023年12月基本养老金的0.5%增加。两项挂钩调整部分分别见分进元。</w:t>
      </w:r>
    </w:p>
    <w:p w14:paraId="41076056" w14:textId="77777777" w:rsidR="00AE3458" w:rsidRPr="00AE3458" w:rsidRDefault="00AE3458" w:rsidP="00AE3458">
      <w:pPr>
        <w:widowControl/>
        <w:shd w:val="clear" w:color="auto" w:fill="FFFFFF"/>
        <w:spacing w:line="580" w:lineRule="exact"/>
        <w:ind w:firstLine="643"/>
        <w:rPr>
          <w:rFonts w:ascii="Times New Roman" w:eastAsia="宋体" w:hAnsi="Times New Roman" w:cs="Times New Roman"/>
          <w:color w:val="333333"/>
          <w:kern w:val="0"/>
          <w:szCs w:val="21"/>
        </w:rPr>
      </w:pPr>
      <w:r w:rsidRPr="00AE3458">
        <w:rPr>
          <w:rFonts w:ascii="楷体" w:eastAsia="楷体" w:hAnsi="楷体" w:cs="Times New Roman" w:hint="eastAsia"/>
          <w:b/>
          <w:bCs/>
          <w:color w:val="333333"/>
          <w:kern w:val="0"/>
          <w:sz w:val="32"/>
          <w:szCs w:val="32"/>
        </w:rPr>
        <w:t>3.倾斜部分。</w:t>
      </w:r>
      <w:r w:rsidRPr="00AE3458">
        <w:rPr>
          <w:rFonts w:ascii="仿宋" w:eastAsia="仿宋" w:hAnsi="仿宋" w:cs="Times New Roman" w:hint="eastAsia"/>
          <w:color w:val="333333"/>
          <w:kern w:val="0"/>
          <w:sz w:val="32"/>
          <w:szCs w:val="32"/>
        </w:rPr>
        <w:t>截至2023年12月31日，年满70-79周岁的退休人员每人每月增加10元，年满80-89周岁的退休人员每人每月增加20元，年满90周岁及以上的退休人员每人每月增加70元。其中，对2023年到达70周岁、80周岁、</w:t>
      </w:r>
      <w:r w:rsidRPr="00AE3458">
        <w:rPr>
          <w:rFonts w:ascii="仿宋" w:eastAsia="仿宋" w:hAnsi="仿宋" w:cs="Times New Roman" w:hint="eastAsia"/>
          <w:color w:val="333333"/>
          <w:kern w:val="0"/>
          <w:sz w:val="32"/>
          <w:szCs w:val="32"/>
        </w:rPr>
        <w:lastRenderedPageBreak/>
        <w:t>85周岁的退休人员，按照上述办法倾斜调整后，累计享受高龄倾斜部分低于140元、280元、390元的予以补齐。</w:t>
      </w:r>
    </w:p>
    <w:p w14:paraId="53079B35"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黑体" w:eastAsia="黑体" w:hAnsi="黑体" w:cs="Times New Roman" w:hint="eastAsia"/>
          <w:color w:val="333333"/>
          <w:kern w:val="0"/>
          <w:sz w:val="32"/>
          <w:szCs w:val="32"/>
        </w:rPr>
        <w:t>三、资金来源</w:t>
      </w:r>
    </w:p>
    <w:p w14:paraId="65DA2388"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仿宋" w:eastAsia="仿宋" w:hAnsi="仿宋" w:cs="Times New Roman" w:hint="eastAsia"/>
          <w:color w:val="333333"/>
          <w:kern w:val="0"/>
          <w:sz w:val="32"/>
          <w:szCs w:val="32"/>
        </w:rPr>
        <w:t>调整基本养老金所需资金，参加企业职工基本养老保险的从企业养老保险基金中列支，参加机关事业单位基本养老保险的从机关事业单位养老保险基金中列支。各级财政对本地调整企业退休人员养老金新增支出安排资金给予一定补助。未参加职工基本养老保险的，调整所需资金由原渠道解决。</w:t>
      </w:r>
    </w:p>
    <w:p w14:paraId="7C920C18"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黑体" w:eastAsia="黑体" w:hAnsi="黑体" w:cs="Times New Roman" w:hint="eastAsia"/>
          <w:color w:val="333333"/>
          <w:kern w:val="0"/>
          <w:sz w:val="32"/>
          <w:szCs w:val="32"/>
        </w:rPr>
        <w:t>四、组织实施</w:t>
      </w:r>
    </w:p>
    <w:p w14:paraId="09E6DFF2" w14:textId="77777777"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仿宋" w:eastAsia="仿宋" w:hAnsi="仿宋" w:cs="Times New Roman" w:hint="eastAsia"/>
          <w:color w:val="333333"/>
          <w:kern w:val="0"/>
          <w:sz w:val="32"/>
          <w:szCs w:val="32"/>
        </w:rPr>
        <w:t>调整退休人员基本养老金，是保障和改善民生的重要措施，体现了党中央、国务院及省委、省政府对广大退休人员的亲切关怀。各地区、各单位要高度重视，强化领导，精心组织，稳妥开展宣传解读，正确引导舆论，确保调整工作平稳进行。各地要切实采取措施加强养老保险基金收支管理，提前做好资金安排，确保7月31日前将调整增加的基本养老金足额发放到位，不得发生拖欠。调整退休人员基本养老金工作将纳入对各市政府企业职工养老保险工作考核。工作中遇有重大问题，请及时向省人力资源社会保障厅、省财政厅报告。</w:t>
      </w:r>
    </w:p>
    <w:p w14:paraId="7929F7B0" w14:textId="77777777" w:rsidR="00AE3458" w:rsidRPr="00AE3458" w:rsidRDefault="00AE3458" w:rsidP="00AE3458">
      <w:pPr>
        <w:widowControl/>
        <w:shd w:val="clear" w:color="auto" w:fill="FFFFFF"/>
        <w:spacing w:line="580" w:lineRule="exact"/>
        <w:ind w:left="420" w:firstLine="640"/>
        <w:rPr>
          <w:rFonts w:ascii="Times New Roman" w:eastAsia="宋体" w:hAnsi="Times New Roman" w:cs="Times New Roman"/>
          <w:color w:val="333333"/>
          <w:kern w:val="0"/>
          <w:szCs w:val="21"/>
        </w:rPr>
      </w:pPr>
      <w:r w:rsidRPr="00AE3458">
        <w:rPr>
          <w:rFonts w:ascii="Calibri" w:eastAsia="仿宋" w:hAnsi="Calibri" w:cs="Calibri"/>
          <w:color w:val="333333"/>
          <w:kern w:val="0"/>
          <w:sz w:val="32"/>
          <w:szCs w:val="32"/>
        </w:rPr>
        <w:t> </w:t>
      </w:r>
    </w:p>
    <w:p w14:paraId="385B157A" w14:textId="2D326B7D" w:rsidR="00AE3458" w:rsidRPr="00AE3458" w:rsidRDefault="00AE3458" w:rsidP="00AE3458">
      <w:pPr>
        <w:widowControl/>
        <w:shd w:val="clear" w:color="auto" w:fill="FFFFFF"/>
        <w:spacing w:line="580" w:lineRule="exact"/>
        <w:ind w:left="420" w:firstLine="640"/>
        <w:rPr>
          <w:rFonts w:ascii="Times New Roman" w:eastAsia="宋体" w:hAnsi="Times New Roman" w:cs="Times New Roman"/>
          <w:color w:val="333333"/>
          <w:kern w:val="0"/>
          <w:szCs w:val="21"/>
        </w:rPr>
      </w:pPr>
      <w:r w:rsidRPr="00AE3458">
        <w:rPr>
          <w:rFonts w:ascii="Calibri" w:eastAsia="仿宋" w:hAnsi="Calibri" w:cs="Calibri"/>
          <w:color w:val="333333"/>
          <w:kern w:val="0"/>
          <w:sz w:val="32"/>
          <w:szCs w:val="32"/>
        </w:rPr>
        <w:t> </w:t>
      </w:r>
    </w:p>
    <w:p w14:paraId="1953B7FF" w14:textId="596F98ED" w:rsidR="00AE3458" w:rsidRPr="00AE3458" w:rsidRDefault="00AE3458" w:rsidP="00AE3458">
      <w:pPr>
        <w:widowControl/>
        <w:shd w:val="clear" w:color="auto" w:fill="FFFFFF"/>
        <w:spacing w:line="580" w:lineRule="exact"/>
        <w:ind w:firstLine="640"/>
        <w:rPr>
          <w:rFonts w:ascii="Times New Roman" w:eastAsia="宋体" w:hAnsi="Times New Roman" w:cs="Times New Roman"/>
          <w:color w:val="333333"/>
          <w:kern w:val="0"/>
          <w:szCs w:val="21"/>
        </w:rPr>
      </w:pPr>
      <w:r w:rsidRPr="00AE3458">
        <w:rPr>
          <w:rFonts w:ascii="仿宋" w:eastAsia="仿宋" w:hAnsi="仿宋" w:cs="Times New Roman" w:hint="eastAsia"/>
          <w:color w:val="333333"/>
          <w:kern w:val="0"/>
          <w:sz w:val="32"/>
          <w:szCs w:val="32"/>
        </w:rPr>
        <w:t> </w:t>
      </w:r>
      <w:r w:rsidRPr="00AE3458">
        <w:rPr>
          <w:rFonts w:ascii="仿宋" w:eastAsia="仿宋" w:hAnsi="仿宋" w:cs="Times New Roman" w:hint="eastAsia"/>
          <w:color w:val="333333"/>
          <w:kern w:val="0"/>
          <w:sz w:val="32"/>
          <w:szCs w:val="32"/>
        </w:rPr>
        <w:t> </w:t>
      </w:r>
      <w:r w:rsidRPr="00AE3458">
        <w:rPr>
          <w:rFonts w:ascii="仿宋" w:eastAsia="仿宋" w:hAnsi="仿宋" w:cs="Times New Roman" w:hint="eastAsia"/>
          <w:color w:val="333333"/>
          <w:kern w:val="0"/>
          <w:sz w:val="32"/>
          <w:szCs w:val="32"/>
        </w:rPr>
        <w:t> </w:t>
      </w:r>
      <w:r w:rsidRPr="00AE3458">
        <w:rPr>
          <w:rFonts w:ascii="仿宋" w:eastAsia="仿宋" w:hAnsi="仿宋" w:cs="Times New Roman" w:hint="eastAsia"/>
          <w:color w:val="333333"/>
          <w:kern w:val="0"/>
          <w:sz w:val="32"/>
          <w:szCs w:val="32"/>
        </w:rPr>
        <w:t> </w:t>
      </w:r>
      <w:r w:rsidRPr="00AE3458">
        <w:rPr>
          <w:rFonts w:ascii="仿宋" w:eastAsia="仿宋" w:hAnsi="仿宋" w:cs="Times New Roman" w:hint="eastAsia"/>
          <w:color w:val="333333"/>
          <w:kern w:val="0"/>
          <w:sz w:val="32"/>
          <w:szCs w:val="32"/>
        </w:rPr>
        <w:t> </w:t>
      </w:r>
      <w:r w:rsidRPr="00AE3458">
        <w:rPr>
          <w:rFonts w:ascii="仿宋" w:eastAsia="仿宋" w:hAnsi="仿宋" w:cs="Times New Roman" w:hint="eastAsia"/>
          <w:color w:val="333333"/>
          <w:kern w:val="0"/>
          <w:sz w:val="32"/>
          <w:szCs w:val="32"/>
        </w:rPr>
        <w:t>安徽省人力资源和社会保障厅</w:t>
      </w:r>
      <w:r w:rsidRPr="00AE3458">
        <w:rPr>
          <w:rFonts w:ascii="Calibri" w:eastAsia="仿宋" w:hAnsi="Calibri" w:cs="Calibri"/>
          <w:color w:val="333333"/>
          <w:kern w:val="0"/>
          <w:sz w:val="32"/>
          <w:szCs w:val="32"/>
        </w:rPr>
        <w:t>      </w:t>
      </w:r>
      <w:r w:rsidRPr="00AE3458">
        <w:rPr>
          <w:rFonts w:ascii="仿宋" w:eastAsia="仿宋" w:hAnsi="仿宋" w:cs="Times New Roman" w:hint="eastAsia"/>
          <w:color w:val="333333"/>
          <w:kern w:val="0"/>
          <w:sz w:val="32"/>
          <w:szCs w:val="32"/>
        </w:rPr>
        <w:t>安徽省财政厅</w:t>
      </w:r>
    </w:p>
    <w:p w14:paraId="4B85A2E8" w14:textId="136E48DF" w:rsidR="005E34B6" w:rsidRPr="00AE3458" w:rsidRDefault="00AE3458" w:rsidP="00AE3458">
      <w:pPr>
        <w:widowControl/>
        <w:shd w:val="clear" w:color="auto" w:fill="FFFFFF"/>
        <w:spacing w:line="580" w:lineRule="exact"/>
        <w:ind w:firstLine="640"/>
        <w:jc w:val="center"/>
        <w:rPr>
          <w:rFonts w:ascii="Times New Roman" w:eastAsia="宋体" w:hAnsi="Times New Roman" w:cs="Times New Roman" w:hint="eastAsia"/>
          <w:color w:val="333333"/>
          <w:kern w:val="0"/>
          <w:szCs w:val="21"/>
        </w:rPr>
      </w:pPr>
      <w:r w:rsidRPr="00AE3458">
        <w:rPr>
          <w:rFonts w:ascii="Calibri" w:eastAsia="仿宋" w:hAnsi="Calibri" w:cs="Calibri"/>
          <w:color w:val="333333"/>
          <w:kern w:val="0"/>
          <w:sz w:val="32"/>
          <w:szCs w:val="32"/>
        </w:rPr>
        <w:t>                </w:t>
      </w:r>
      <w:r w:rsidRPr="00AE3458">
        <w:rPr>
          <w:rFonts w:ascii="仿宋" w:eastAsia="仿宋" w:hAnsi="仿宋" w:cs="Times New Roman" w:hint="eastAsia"/>
          <w:color w:val="333333"/>
          <w:kern w:val="0"/>
          <w:sz w:val="32"/>
          <w:szCs w:val="32"/>
        </w:rPr>
        <w:t>2024年6月25</w:t>
      </w:r>
      <w:r>
        <w:rPr>
          <w:rFonts w:ascii="仿宋" w:eastAsia="仿宋" w:hAnsi="仿宋" w:cs="Times New Roman" w:hint="eastAsia"/>
          <w:color w:val="333333"/>
          <w:kern w:val="0"/>
          <w:sz w:val="32"/>
          <w:szCs w:val="32"/>
        </w:rPr>
        <w:t>日</w:t>
      </w:r>
    </w:p>
    <w:sectPr w:rsidR="005E34B6" w:rsidRPr="00AE34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E7280" w14:textId="77777777" w:rsidR="00C849D7" w:rsidRDefault="00C849D7" w:rsidP="00FD6061">
      <w:r>
        <w:separator/>
      </w:r>
    </w:p>
  </w:endnote>
  <w:endnote w:type="continuationSeparator" w:id="0">
    <w:p w14:paraId="4EB32111" w14:textId="77777777" w:rsidR="00C849D7" w:rsidRDefault="00C849D7" w:rsidP="00FD6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73A7B" w14:textId="77777777" w:rsidR="00C849D7" w:rsidRDefault="00C849D7" w:rsidP="00FD6061">
      <w:r>
        <w:separator/>
      </w:r>
    </w:p>
  </w:footnote>
  <w:footnote w:type="continuationSeparator" w:id="0">
    <w:p w14:paraId="1F966889" w14:textId="77777777" w:rsidR="00C849D7" w:rsidRDefault="00C849D7" w:rsidP="00FD60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438D"/>
    <w:rsid w:val="000E289D"/>
    <w:rsid w:val="00286B11"/>
    <w:rsid w:val="004811DD"/>
    <w:rsid w:val="005E34B6"/>
    <w:rsid w:val="00750B69"/>
    <w:rsid w:val="00827652"/>
    <w:rsid w:val="0094438D"/>
    <w:rsid w:val="00AE3458"/>
    <w:rsid w:val="00C4295B"/>
    <w:rsid w:val="00C849D7"/>
    <w:rsid w:val="00ED368E"/>
    <w:rsid w:val="00FD6061"/>
    <w:rsid w:val="00FE4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A2455"/>
  <w15:docId w15:val="{402AC6FB-CF58-4495-8C62-F08CFF611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FD606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606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D6061"/>
    <w:rPr>
      <w:sz w:val="18"/>
      <w:szCs w:val="18"/>
    </w:rPr>
  </w:style>
  <w:style w:type="paragraph" w:styleId="a5">
    <w:name w:val="footer"/>
    <w:basedOn w:val="a"/>
    <w:link w:val="a6"/>
    <w:uiPriority w:val="99"/>
    <w:unhideWhenUsed/>
    <w:rsid w:val="00FD6061"/>
    <w:pPr>
      <w:tabs>
        <w:tab w:val="center" w:pos="4153"/>
        <w:tab w:val="right" w:pos="8306"/>
      </w:tabs>
      <w:snapToGrid w:val="0"/>
      <w:jc w:val="left"/>
    </w:pPr>
    <w:rPr>
      <w:sz w:val="18"/>
      <w:szCs w:val="18"/>
    </w:rPr>
  </w:style>
  <w:style w:type="character" w:customStyle="1" w:styleId="a6">
    <w:name w:val="页脚 字符"/>
    <w:basedOn w:val="a0"/>
    <w:link w:val="a5"/>
    <w:uiPriority w:val="99"/>
    <w:rsid w:val="00FD6061"/>
    <w:rPr>
      <w:sz w:val="18"/>
      <w:szCs w:val="18"/>
    </w:rPr>
  </w:style>
  <w:style w:type="character" w:customStyle="1" w:styleId="10">
    <w:name w:val="标题 1 字符"/>
    <w:basedOn w:val="a0"/>
    <w:link w:val="1"/>
    <w:uiPriority w:val="9"/>
    <w:rsid w:val="00FD6061"/>
    <w:rPr>
      <w:rFonts w:ascii="宋体" w:eastAsia="宋体" w:hAnsi="宋体" w:cs="宋体"/>
      <w:b/>
      <w:bCs/>
      <w:kern w:val="36"/>
      <w:sz w:val="48"/>
      <w:szCs w:val="48"/>
    </w:rPr>
  </w:style>
  <w:style w:type="paragraph" w:styleId="a7">
    <w:name w:val="Normal (Web)"/>
    <w:basedOn w:val="a"/>
    <w:uiPriority w:val="99"/>
    <w:unhideWhenUsed/>
    <w:rsid w:val="00FD6061"/>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5E34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640536">
      <w:bodyDiv w:val="1"/>
      <w:marLeft w:val="0"/>
      <w:marRight w:val="0"/>
      <w:marTop w:val="0"/>
      <w:marBottom w:val="0"/>
      <w:divBdr>
        <w:top w:val="none" w:sz="0" w:space="0" w:color="auto"/>
        <w:left w:val="none" w:sz="0" w:space="0" w:color="auto"/>
        <w:bottom w:val="none" w:sz="0" w:space="0" w:color="auto"/>
        <w:right w:val="none" w:sz="0" w:space="0" w:color="auto"/>
      </w:divBdr>
    </w:div>
    <w:div w:id="723797945">
      <w:bodyDiv w:val="1"/>
      <w:marLeft w:val="0"/>
      <w:marRight w:val="0"/>
      <w:marTop w:val="0"/>
      <w:marBottom w:val="0"/>
      <w:divBdr>
        <w:top w:val="none" w:sz="0" w:space="0" w:color="auto"/>
        <w:left w:val="none" w:sz="0" w:space="0" w:color="auto"/>
        <w:bottom w:val="none" w:sz="0" w:space="0" w:color="auto"/>
        <w:right w:val="none" w:sz="0" w:space="0" w:color="auto"/>
      </w:divBdr>
    </w:div>
    <w:div w:id="1619557206">
      <w:bodyDiv w:val="1"/>
      <w:marLeft w:val="0"/>
      <w:marRight w:val="0"/>
      <w:marTop w:val="0"/>
      <w:marBottom w:val="0"/>
      <w:divBdr>
        <w:top w:val="none" w:sz="0" w:space="0" w:color="auto"/>
        <w:left w:val="none" w:sz="0" w:space="0" w:color="auto"/>
        <w:bottom w:val="none" w:sz="0" w:space="0" w:color="auto"/>
        <w:right w:val="none" w:sz="0" w:space="0" w:color="auto"/>
      </w:divBdr>
    </w:div>
    <w:div w:id="2093315574">
      <w:bodyDiv w:val="1"/>
      <w:marLeft w:val="0"/>
      <w:marRight w:val="0"/>
      <w:marTop w:val="0"/>
      <w:marBottom w:val="0"/>
      <w:divBdr>
        <w:top w:val="none" w:sz="0" w:space="0" w:color="auto"/>
        <w:left w:val="none" w:sz="0" w:space="0" w:color="auto"/>
        <w:bottom w:val="none" w:sz="0" w:space="0" w:color="auto"/>
        <w:right w:val="none" w:sz="0" w:space="0" w:color="auto"/>
      </w:divBdr>
    </w:div>
    <w:div w:id="2131245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156</Words>
  <Characters>891</Characters>
  <Application>Microsoft Office Word</Application>
  <DocSecurity>0</DocSecurity>
  <Lines>7</Lines>
  <Paragraphs>2</Paragraphs>
  <ScaleCrop>false</ScaleCrop>
  <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BZhu</dc:creator>
  <cp:keywords/>
  <dc:description/>
  <cp:lastModifiedBy>B.Zhu</cp:lastModifiedBy>
  <cp:revision>8</cp:revision>
  <dcterms:created xsi:type="dcterms:W3CDTF">2022-07-11T12:33:00Z</dcterms:created>
  <dcterms:modified xsi:type="dcterms:W3CDTF">2024-07-05T09:23:00Z</dcterms:modified>
</cp:coreProperties>
</file>