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81" w:rsidRPr="005B4D97" w:rsidRDefault="00F76B81" w:rsidP="00F76B81">
      <w:pPr>
        <w:pStyle w:val="a3"/>
        <w:shd w:val="clear" w:color="auto" w:fill="FFFFFF"/>
        <w:spacing w:line="600" w:lineRule="atLeast"/>
        <w:ind w:firstLine="640"/>
        <w:jc w:val="center"/>
        <w:rPr>
          <w:rFonts w:ascii="方正小标宋简体" w:eastAsia="方正小标宋简体" w:hAnsi="仿宋" w:cs="Times New Roman"/>
          <w:spacing w:val="4"/>
          <w:sz w:val="32"/>
          <w:szCs w:val="32"/>
        </w:rPr>
      </w:pPr>
      <w:bookmarkStart w:id="0" w:name="_GoBack"/>
      <w:r w:rsidRPr="005B4D97">
        <w:rPr>
          <w:rFonts w:ascii="方正小标宋简体" w:eastAsia="方正小标宋简体" w:hAnsi="仿宋" w:cs="Times New Roman" w:hint="eastAsia"/>
          <w:spacing w:val="4"/>
          <w:sz w:val="32"/>
          <w:szCs w:val="32"/>
        </w:rPr>
        <w:t>2020年调整退休人员基本养老金政策问答</w:t>
      </w:r>
    </w:p>
    <w:p w:rsidR="00F76B81" w:rsidRPr="005B4D97" w:rsidRDefault="00F76B81" w:rsidP="00D6090F">
      <w:pPr>
        <w:pStyle w:val="a3"/>
        <w:shd w:val="clear" w:color="auto" w:fill="FFFFFF"/>
        <w:spacing w:line="440" w:lineRule="exact"/>
        <w:ind w:firstLine="640"/>
        <w:jc w:val="both"/>
        <w:rPr>
          <w:rFonts w:ascii="Calibri" w:eastAsia="微软雅黑" w:hAnsi="Calibri" w:cs="Calibri"/>
          <w:b/>
          <w:sz w:val="20"/>
          <w:szCs w:val="21"/>
        </w:rPr>
      </w:pPr>
      <w:r w:rsidRPr="005B4D97">
        <w:rPr>
          <w:rFonts w:ascii="仿宋" w:eastAsia="仿宋" w:hAnsi="仿宋" w:cs="Calibri" w:hint="eastAsia"/>
          <w:b/>
          <w:sz w:val="28"/>
          <w:szCs w:val="32"/>
        </w:rPr>
        <w:t>一、今年我省调整退休人员基本养老金的依据是什么？</w:t>
      </w:r>
    </w:p>
    <w:p w:rsidR="00F76B81" w:rsidRPr="005B4D97" w:rsidRDefault="00F76B81" w:rsidP="00D6090F">
      <w:pPr>
        <w:pStyle w:val="a3"/>
        <w:shd w:val="clear" w:color="auto" w:fill="FFFFFF"/>
        <w:spacing w:line="440" w:lineRule="exact"/>
        <w:ind w:firstLine="656"/>
        <w:jc w:val="both"/>
        <w:rPr>
          <w:rFonts w:ascii="Times New Roman" w:eastAsia="微软雅黑" w:hAnsi="Times New Roman" w:cs="Times New Roman"/>
          <w:sz w:val="28"/>
          <w:szCs w:val="32"/>
        </w:rPr>
      </w:pPr>
      <w:r w:rsidRPr="005B4D97">
        <w:rPr>
          <w:rFonts w:ascii="仿宋" w:eastAsia="仿宋" w:hAnsi="仿宋" w:cs="Times New Roman" w:hint="eastAsia"/>
          <w:spacing w:val="4"/>
          <w:sz w:val="28"/>
          <w:szCs w:val="32"/>
        </w:rPr>
        <w:t>按照党中央、国务院决策部署，4月10日，人力资源社会保障部、财政部印发《关于2020年调整退休人员基本养老金的通知》（</w:t>
      </w:r>
      <w:proofErr w:type="gramStart"/>
      <w:r w:rsidRPr="005B4D97">
        <w:rPr>
          <w:rFonts w:ascii="仿宋" w:eastAsia="仿宋" w:hAnsi="仿宋" w:cs="Times New Roman" w:hint="eastAsia"/>
          <w:spacing w:val="4"/>
          <w:sz w:val="28"/>
          <w:szCs w:val="32"/>
        </w:rPr>
        <w:t>人社部</w:t>
      </w:r>
      <w:proofErr w:type="gramEnd"/>
      <w:r w:rsidRPr="005B4D97">
        <w:rPr>
          <w:rFonts w:ascii="仿宋" w:eastAsia="仿宋" w:hAnsi="仿宋" w:cs="Times New Roman" w:hint="eastAsia"/>
          <w:spacing w:val="4"/>
          <w:sz w:val="28"/>
          <w:szCs w:val="32"/>
        </w:rPr>
        <w:t>发〔2020〕22号），规定了今年调整对象、执行时间、调整水平和办法、资金来源等。按照通知要求，我省今年继续采用定额调整、挂钩调整和适当倾斜相结合的办法，同步调整企业和机关事业单位退休人员基本养老金，并严格按照国家规定，以全国总体调整比例即5%为高限确定我省调整比例和水平，</w:t>
      </w:r>
      <w:r w:rsidRPr="005B4D97">
        <w:rPr>
          <w:rFonts w:ascii="仿宋" w:eastAsia="仿宋" w:hAnsi="仿宋" w:cs="Times New Roman" w:hint="eastAsia"/>
          <w:sz w:val="28"/>
          <w:szCs w:val="32"/>
        </w:rPr>
        <w:t>经省政府同意并报人力资源社会保障部、财政部批准，</w:t>
      </w:r>
      <w:r w:rsidRPr="005B4D97">
        <w:rPr>
          <w:rFonts w:ascii="仿宋" w:eastAsia="仿宋" w:hAnsi="仿宋" w:cs="Times New Roman" w:hint="eastAsia"/>
          <w:spacing w:val="4"/>
          <w:sz w:val="28"/>
          <w:szCs w:val="32"/>
        </w:rPr>
        <w:t>制定了我省调整方案。</w:t>
      </w:r>
    </w:p>
    <w:p w:rsidR="00F76B81" w:rsidRPr="005B4D97" w:rsidRDefault="00F76B81" w:rsidP="00D6090F">
      <w:pPr>
        <w:pStyle w:val="a3"/>
        <w:shd w:val="clear" w:color="auto" w:fill="FFFFFF"/>
        <w:spacing w:line="440" w:lineRule="exact"/>
        <w:ind w:firstLine="640"/>
        <w:jc w:val="both"/>
        <w:rPr>
          <w:rFonts w:ascii="Calibri" w:eastAsia="微软雅黑" w:hAnsi="Calibri" w:cs="Calibri"/>
          <w:b/>
          <w:sz w:val="20"/>
          <w:szCs w:val="21"/>
        </w:rPr>
      </w:pPr>
      <w:r w:rsidRPr="005B4D97">
        <w:rPr>
          <w:rFonts w:ascii="仿宋" w:eastAsia="仿宋" w:hAnsi="仿宋" w:cs="Calibri" w:hint="eastAsia"/>
          <w:b/>
          <w:sz w:val="28"/>
          <w:szCs w:val="32"/>
        </w:rPr>
        <w:t>二、如何理解调整基本养老金的平均水平？</w:t>
      </w:r>
    </w:p>
    <w:p w:rsidR="00F76B81" w:rsidRPr="005B4D97" w:rsidRDefault="00F76B81" w:rsidP="00D6090F">
      <w:pPr>
        <w:pStyle w:val="a3"/>
        <w:shd w:val="clear" w:color="auto" w:fill="FFFFFF"/>
        <w:spacing w:line="440" w:lineRule="exact"/>
        <w:ind w:firstLine="640"/>
        <w:jc w:val="both"/>
        <w:rPr>
          <w:rFonts w:ascii="Calibri" w:eastAsia="微软雅黑" w:hAnsi="Calibri" w:cs="Calibri"/>
          <w:sz w:val="20"/>
          <w:szCs w:val="21"/>
        </w:rPr>
      </w:pPr>
      <w:r w:rsidRPr="005B4D97">
        <w:rPr>
          <w:rFonts w:ascii="仿宋" w:eastAsia="仿宋" w:hAnsi="仿宋" w:cs="Calibri" w:hint="eastAsia"/>
          <w:sz w:val="28"/>
          <w:szCs w:val="32"/>
        </w:rPr>
        <w:t>调整基本养老金的平均水平，是企业和机关事业单位全部退休人员待遇调整的总体人均水平，并不是退休人员以各自月人均基本养老金水平为基数按照相应的比例调整。具体到每一位退休人员，由于缴费年限和养老金水平</w:t>
      </w:r>
      <w:proofErr w:type="gramStart"/>
      <w:r w:rsidRPr="005B4D97">
        <w:rPr>
          <w:rFonts w:ascii="仿宋" w:eastAsia="仿宋" w:hAnsi="仿宋" w:cs="Calibri" w:hint="eastAsia"/>
          <w:sz w:val="28"/>
          <w:szCs w:val="32"/>
        </w:rPr>
        <w:t>不</w:t>
      </w:r>
      <w:proofErr w:type="gramEnd"/>
      <w:r w:rsidRPr="005B4D97">
        <w:rPr>
          <w:rFonts w:ascii="仿宋" w:eastAsia="仿宋" w:hAnsi="仿宋" w:cs="Calibri" w:hint="eastAsia"/>
          <w:sz w:val="28"/>
          <w:szCs w:val="32"/>
        </w:rPr>
        <w:t xml:space="preserve">同等原因，实际增加的养老金绝对额是不同的，对应到占个人养老金的比例也是不同的。一般来说，在职时缴费年限长、缴费工资水平较高的人员，增加的基本养老金绝对额也会相对较高。 </w:t>
      </w:r>
    </w:p>
    <w:p w:rsidR="00F76B81" w:rsidRPr="005B4D97" w:rsidRDefault="00F76B81" w:rsidP="00D6090F">
      <w:pPr>
        <w:pStyle w:val="a3"/>
        <w:shd w:val="clear" w:color="auto" w:fill="FFFFFF"/>
        <w:spacing w:line="440" w:lineRule="exact"/>
        <w:ind w:firstLine="640"/>
        <w:jc w:val="both"/>
        <w:rPr>
          <w:rFonts w:ascii="Calibri" w:eastAsia="微软雅黑" w:hAnsi="Calibri" w:cs="Calibri"/>
          <w:b/>
          <w:sz w:val="20"/>
          <w:szCs w:val="21"/>
        </w:rPr>
      </w:pPr>
      <w:r w:rsidRPr="005B4D97">
        <w:rPr>
          <w:rFonts w:ascii="仿宋" w:eastAsia="仿宋" w:hAnsi="仿宋" w:cs="Calibri" w:hint="eastAsia"/>
          <w:b/>
          <w:sz w:val="28"/>
          <w:szCs w:val="32"/>
        </w:rPr>
        <w:t>三、调整基本养老金的人员范围和时间是如何规定的？</w:t>
      </w:r>
    </w:p>
    <w:p w:rsidR="00F76B81" w:rsidRPr="005B4D97" w:rsidRDefault="00F76B81" w:rsidP="00D6090F">
      <w:pPr>
        <w:pStyle w:val="a3"/>
        <w:shd w:val="clear" w:color="auto" w:fill="FFFFFF"/>
        <w:spacing w:line="440" w:lineRule="exact"/>
        <w:ind w:firstLine="640"/>
        <w:jc w:val="both"/>
        <w:rPr>
          <w:rFonts w:ascii="Calibri" w:eastAsia="微软雅黑" w:hAnsi="Calibri" w:cs="Calibri"/>
          <w:sz w:val="20"/>
          <w:szCs w:val="21"/>
        </w:rPr>
      </w:pPr>
      <w:r w:rsidRPr="005B4D97">
        <w:rPr>
          <w:rFonts w:ascii="仿宋" w:eastAsia="仿宋" w:hAnsi="仿宋" w:cs="Calibri" w:hint="eastAsia"/>
          <w:sz w:val="28"/>
          <w:szCs w:val="32"/>
        </w:rPr>
        <w:t>此次调整基本养老金的人员范围是，2019年12月31日前已按规定办理退休手续的退休人员；调整的时间，从2020年1月1日起。参加养老金调整的人员为上年底前已退休人员，当年退休人员不参加当年的待遇调整，这是职工基本养老保险制度待遇确定机制决定的。按照现行制度，退休人员待遇与职工平均工资以及个人缴费情况有关。简单的说，参保人员退休时以退休上年度全省相关社</w:t>
      </w:r>
      <w:proofErr w:type="gramStart"/>
      <w:r w:rsidRPr="005B4D97">
        <w:rPr>
          <w:rFonts w:ascii="仿宋" w:eastAsia="仿宋" w:hAnsi="仿宋" w:cs="Calibri" w:hint="eastAsia"/>
          <w:sz w:val="28"/>
          <w:szCs w:val="32"/>
        </w:rPr>
        <w:t>平工资</w:t>
      </w:r>
      <w:proofErr w:type="gramEnd"/>
      <w:r w:rsidRPr="005B4D97">
        <w:rPr>
          <w:rFonts w:ascii="仿宋" w:eastAsia="仿宋" w:hAnsi="仿宋" w:cs="Calibri" w:hint="eastAsia"/>
          <w:sz w:val="28"/>
          <w:szCs w:val="32"/>
        </w:rPr>
        <w:t>作为计发基数，在退休时</w:t>
      </w:r>
      <w:proofErr w:type="gramStart"/>
      <w:r w:rsidRPr="005B4D97">
        <w:rPr>
          <w:rFonts w:ascii="仿宋" w:eastAsia="仿宋" w:hAnsi="仿宋" w:cs="Calibri" w:hint="eastAsia"/>
          <w:sz w:val="28"/>
          <w:szCs w:val="32"/>
        </w:rPr>
        <w:t>已适当</w:t>
      </w:r>
      <w:proofErr w:type="gramEnd"/>
      <w:r w:rsidRPr="005B4D97">
        <w:rPr>
          <w:rFonts w:ascii="仿宋" w:eastAsia="仿宋" w:hAnsi="仿宋" w:cs="Calibri" w:hint="eastAsia"/>
          <w:sz w:val="28"/>
          <w:szCs w:val="32"/>
        </w:rPr>
        <w:t>分享上年经济社会发展成果。按照这一原则，在调整基本养老金时，将范围确定为上年底退休人员，避免当年退休人员既享受上年工资增长，又享受当年待遇调整的情况，以体现公平。</w:t>
      </w:r>
    </w:p>
    <w:p w:rsidR="00D6090F" w:rsidRPr="005B4D97" w:rsidRDefault="00F76B81" w:rsidP="00D6090F">
      <w:pPr>
        <w:pStyle w:val="a3"/>
        <w:shd w:val="clear" w:color="auto" w:fill="FFFFFF"/>
        <w:spacing w:line="440" w:lineRule="exact"/>
        <w:ind w:firstLine="640"/>
        <w:jc w:val="both"/>
        <w:rPr>
          <w:rFonts w:ascii="仿宋" w:eastAsia="仿宋" w:hAnsi="仿宋" w:cs="Calibri"/>
          <w:b/>
          <w:sz w:val="28"/>
          <w:szCs w:val="32"/>
        </w:rPr>
      </w:pPr>
      <w:r w:rsidRPr="005B4D97">
        <w:rPr>
          <w:rFonts w:ascii="仿宋" w:eastAsia="仿宋" w:hAnsi="仿宋" w:cs="Calibri" w:hint="eastAsia"/>
          <w:b/>
          <w:sz w:val="28"/>
          <w:szCs w:val="32"/>
        </w:rPr>
        <w:t>四、定额调整水平标准是多少？</w:t>
      </w:r>
    </w:p>
    <w:p w:rsidR="00F76B81" w:rsidRPr="005B4D97" w:rsidRDefault="00F76B81" w:rsidP="00D6090F">
      <w:pPr>
        <w:pStyle w:val="a3"/>
        <w:shd w:val="clear" w:color="auto" w:fill="FFFFFF"/>
        <w:spacing w:line="440" w:lineRule="exact"/>
        <w:ind w:firstLine="640"/>
        <w:jc w:val="both"/>
        <w:rPr>
          <w:rFonts w:ascii="Calibri" w:eastAsia="微软雅黑" w:hAnsi="Calibri" w:cs="Calibri"/>
          <w:sz w:val="20"/>
          <w:szCs w:val="21"/>
        </w:rPr>
      </w:pPr>
      <w:r w:rsidRPr="005B4D97">
        <w:rPr>
          <w:rFonts w:ascii="仿宋" w:eastAsia="仿宋" w:hAnsi="仿宋" w:cs="Calibri" w:hint="eastAsia"/>
          <w:sz w:val="28"/>
          <w:szCs w:val="32"/>
        </w:rPr>
        <w:lastRenderedPageBreak/>
        <w:t>企业和机关事业单位退休人员实行统一的定额调整标准，体现公平性。参加本次调整的企业和机关事业单位退休人员每人每月增加45元。</w:t>
      </w:r>
    </w:p>
    <w:p w:rsidR="00F76B81" w:rsidRPr="005B4D97" w:rsidRDefault="00F76B81" w:rsidP="00D6090F">
      <w:pPr>
        <w:pStyle w:val="a3"/>
        <w:shd w:val="clear" w:color="auto" w:fill="FFFFFF"/>
        <w:spacing w:line="440" w:lineRule="exact"/>
        <w:ind w:firstLine="640"/>
        <w:jc w:val="both"/>
        <w:rPr>
          <w:rFonts w:ascii="Calibri" w:eastAsia="微软雅黑" w:hAnsi="Calibri" w:cs="Calibri"/>
          <w:b/>
          <w:sz w:val="20"/>
          <w:szCs w:val="21"/>
        </w:rPr>
      </w:pPr>
      <w:r w:rsidRPr="005B4D97">
        <w:rPr>
          <w:rFonts w:ascii="仿宋" w:eastAsia="仿宋" w:hAnsi="仿宋" w:cs="Calibri" w:hint="eastAsia"/>
          <w:b/>
          <w:sz w:val="28"/>
          <w:szCs w:val="32"/>
        </w:rPr>
        <w:t>五、挂钩调整如何确定？</w:t>
      </w:r>
    </w:p>
    <w:p w:rsidR="00F76B81" w:rsidRPr="005B4D97" w:rsidRDefault="00F76B81" w:rsidP="00D6090F">
      <w:pPr>
        <w:pStyle w:val="a3"/>
        <w:shd w:val="clear" w:color="auto" w:fill="FFFFFF"/>
        <w:spacing w:line="440" w:lineRule="exact"/>
        <w:ind w:firstLine="640"/>
        <w:jc w:val="both"/>
        <w:rPr>
          <w:rFonts w:ascii="Calibri" w:eastAsia="微软雅黑" w:hAnsi="Calibri" w:cs="Calibri"/>
          <w:sz w:val="20"/>
          <w:szCs w:val="21"/>
        </w:rPr>
      </w:pPr>
      <w:r w:rsidRPr="005B4D97">
        <w:rPr>
          <w:rFonts w:ascii="仿宋" w:eastAsia="仿宋" w:hAnsi="仿宋" w:cs="Calibri" w:hint="eastAsia"/>
          <w:sz w:val="28"/>
          <w:szCs w:val="32"/>
        </w:rPr>
        <w:t>挂钩调整是指增加的养老金与本人缴费年限和本人养老金水平“双挂钩”，体现“长缴多得”、“多缴多得”的激励机制，使在职时长缴费、多缴费的人员多调养老金。一是与退休人员本人缴费年限挂钩。按本人缴费年限（含视同缴费年限，不含特殊工种折算工龄），每满1年（累计缴费年限尾数不足一年的按一年算）每人每月增加2元。二是与退休人员本人基本养老金水平挂钩。以本人2019年12月的基本养老金（不含社保机构代发的各种补贴或补助）为基数，每人每月增加1%（见</w:t>
      </w:r>
      <w:proofErr w:type="gramStart"/>
      <w:r w:rsidRPr="005B4D97">
        <w:rPr>
          <w:rFonts w:ascii="仿宋" w:eastAsia="仿宋" w:hAnsi="仿宋" w:cs="Calibri" w:hint="eastAsia"/>
          <w:sz w:val="28"/>
          <w:szCs w:val="32"/>
        </w:rPr>
        <w:t>角进元</w:t>
      </w:r>
      <w:proofErr w:type="gramEnd"/>
      <w:r w:rsidRPr="005B4D97">
        <w:rPr>
          <w:rFonts w:ascii="仿宋" w:eastAsia="仿宋" w:hAnsi="仿宋" w:cs="Calibri" w:hint="eastAsia"/>
          <w:sz w:val="28"/>
          <w:szCs w:val="32"/>
        </w:rPr>
        <w:t>）。</w:t>
      </w:r>
    </w:p>
    <w:p w:rsidR="00F76B81" w:rsidRPr="005B4D97" w:rsidRDefault="00F76B81" w:rsidP="00D6090F">
      <w:pPr>
        <w:pStyle w:val="a3"/>
        <w:shd w:val="clear" w:color="auto" w:fill="FFFFFF"/>
        <w:spacing w:line="440" w:lineRule="exact"/>
        <w:ind w:firstLine="640"/>
        <w:jc w:val="both"/>
        <w:rPr>
          <w:rFonts w:ascii="Calibri" w:eastAsia="微软雅黑" w:hAnsi="Calibri" w:cs="Calibri"/>
          <w:b/>
          <w:sz w:val="20"/>
          <w:szCs w:val="21"/>
        </w:rPr>
      </w:pPr>
      <w:r w:rsidRPr="005B4D97">
        <w:rPr>
          <w:rFonts w:ascii="仿宋" w:eastAsia="仿宋" w:hAnsi="仿宋" w:cs="Calibri" w:hint="eastAsia"/>
          <w:b/>
          <w:sz w:val="28"/>
          <w:szCs w:val="32"/>
        </w:rPr>
        <w:t>六、退休人员的高龄倾斜标准如何确定？</w:t>
      </w:r>
    </w:p>
    <w:p w:rsidR="00F76B81" w:rsidRPr="005B4D97" w:rsidRDefault="00F76B81" w:rsidP="00D6090F">
      <w:pPr>
        <w:pStyle w:val="a3"/>
        <w:shd w:val="clear" w:color="auto" w:fill="FFFFFF"/>
        <w:spacing w:line="440" w:lineRule="exact"/>
        <w:ind w:firstLine="640"/>
        <w:jc w:val="both"/>
        <w:rPr>
          <w:rFonts w:ascii="Calibri" w:eastAsia="微软雅黑" w:hAnsi="Calibri" w:cs="Calibri"/>
          <w:sz w:val="20"/>
          <w:szCs w:val="21"/>
        </w:rPr>
      </w:pPr>
      <w:r w:rsidRPr="005B4D97">
        <w:rPr>
          <w:rFonts w:ascii="仿宋" w:eastAsia="仿宋" w:hAnsi="仿宋" w:cs="Calibri" w:hint="eastAsia"/>
          <w:sz w:val="28"/>
          <w:szCs w:val="32"/>
        </w:rPr>
        <w:t>截至2019年12月31日，年满70—74周岁、75—79周岁、80—84周岁和85周岁及以上的企业退休人员，高龄倾斜标准分别为140元、180元、280元、390元，在以前年度调整基本养老金时已经享受过高龄倾斜的人员，达不到上述标准的补齐到上述标准。</w:t>
      </w:r>
    </w:p>
    <w:p w:rsidR="00F76B81" w:rsidRPr="005B4D97" w:rsidRDefault="00F76B81" w:rsidP="00D6090F">
      <w:pPr>
        <w:pStyle w:val="a3"/>
        <w:shd w:val="clear" w:color="auto" w:fill="FFFFFF"/>
        <w:spacing w:line="440" w:lineRule="exact"/>
        <w:ind w:firstLine="640"/>
        <w:jc w:val="both"/>
        <w:rPr>
          <w:rFonts w:ascii="Calibri" w:eastAsia="微软雅黑" w:hAnsi="Calibri" w:cs="Calibri"/>
          <w:sz w:val="20"/>
          <w:szCs w:val="21"/>
        </w:rPr>
      </w:pPr>
      <w:r w:rsidRPr="005B4D97">
        <w:rPr>
          <w:rFonts w:ascii="仿宋" w:eastAsia="仿宋" w:hAnsi="仿宋" w:cs="Calibri" w:hint="eastAsia"/>
          <w:sz w:val="28"/>
          <w:szCs w:val="32"/>
        </w:rPr>
        <w:t>截至2019年12月31日，年满70—74周岁、75—79周岁、80—84周岁和85周岁及以上的机关事业单位退休人员，高龄倾斜标准分别为100元、130元、210元和290元，在以前年度调整基本养老金时已经享受过高龄倾斜的人员，达不到上述标准的补齐到上述标准。</w:t>
      </w:r>
    </w:p>
    <w:p w:rsidR="00F76B81" w:rsidRPr="005B4D97" w:rsidRDefault="00F76B81" w:rsidP="00D6090F">
      <w:pPr>
        <w:pStyle w:val="a3"/>
        <w:shd w:val="clear" w:color="auto" w:fill="FFFFFF"/>
        <w:spacing w:line="440" w:lineRule="exact"/>
        <w:ind w:firstLine="640"/>
        <w:jc w:val="both"/>
        <w:rPr>
          <w:rFonts w:ascii="Calibri" w:eastAsia="微软雅黑" w:hAnsi="Calibri" w:cs="Calibri"/>
          <w:sz w:val="20"/>
          <w:szCs w:val="21"/>
        </w:rPr>
      </w:pPr>
      <w:r w:rsidRPr="005B4D97">
        <w:rPr>
          <w:rFonts w:ascii="仿宋" w:eastAsia="仿宋" w:hAnsi="仿宋" w:cs="Calibri" w:hint="eastAsia"/>
          <w:sz w:val="28"/>
          <w:szCs w:val="32"/>
        </w:rPr>
        <w:t>与去年相比，企业和机关事业单位退休人员在80-84周岁、85周岁以上两个年龄段标准分别提高20元、60元，进一步体现对高龄人员的倾斜。需要说明的是，上述高龄倾斜标准并不是当年净增加额度，对未享受过高龄倾斜的退休人员，在年满70周岁时，可按上述标准增加；对以往年度享受过高龄倾斜的退休人员，增加标准的差额部分。比如，某企业退休人员在2019年满70周岁，过去未享受过高龄倾斜政策，今年符合高龄倾斜条件，因此，其高龄倾斜净增加140元。某企业退休人员在2019年满75周岁，由于以前年度调整养老金时已经享受了70-74周岁高龄倾斜标准140元，今年符合享受75-79</w:t>
      </w:r>
      <w:r w:rsidRPr="005B4D97">
        <w:rPr>
          <w:rFonts w:ascii="仿宋" w:eastAsia="仿宋" w:hAnsi="仿宋" w:cs="Calibri" w:hint="eastAsia"/>
          <w:sz w:val="28"/>
          <w:szCs w:val="32"/>
        </w:rPr>
        <w:lastRenderedPageBreak/>
        <w:t>周岁高龄倾斜标准180元的条件，其高龄倾斜标准由140元调整到180元，净增加40元。</w:t>
      </w:r>
    </w:p>
    <w:p w:rsidR="00F76B81" w:rsidRPr="005B4D97" w:rsidRDefault="00F76B81" w:rsidP="00D6090F">
      <w:pPr>
        <w:pStyle w:val="a3"/>
        <w:shd w:val="clear" w:color="auto" w:fill="FFFFFF"/>
        <w:spacing w:line="440" w:lineRule="exact"/>
        <w:ind w:firstLine="640"/>
        <w:jc w:val="both"/>
        <w:rPr>
          <w:rFonts w:ascii="Calibri" w:eastAsia="微软雅黑" w:hAnsi="Calibri" w:cs="Calibri"/>
          <w:b/>
          <w:sz w:val="20"/>
          <w:szCs w:val="21"/>
        </w:rPr>
      </w:pPr>
      <w:r w:rsidRPr="005B4D97">
        <w:rPr>
          <w:rFonts w:ascii="仿宋" w:eastAsia="仿宋" w:hAnsi="仿宋" w:cs="Calibri" w:hint="eastAsia"/>
          <w:b/>
          <w:sz w:val="28"/>
          <w:szCs w:val="32"/>
        </w:rPr>
        <w:t>七、调整养老金的资金保障措施？</w:t>
      </w:r>
    </w:p>
    <w:p w:rsidR="00F76B81" w:rsidRPr="005B4D97" w:rsidRDefault="00F76B81" w:rsidP="00D6090F">
      <w:pPr>
        <w:pStyle w:val="a3"/>
        <w:shd w:val="clear" w:color="auto" w:fill="FFFFFF"/>
        <w:spacing w:line="440" w:lineRule="exact"/>
        <w:ind w:firstLine="640"/>
        <w:jc w:val="both"/>
        <w:rPr>
          <w:rFonts w:ascii="Calibri" w:eastAsia="微软雅黑" w:hAnsi="Calibri" w:cs="Calibri"/>
          <w:sz w:val="20"/>
          <w:szCs w:val="21"/>
        </w:rPr>
      </w:pPr>
      <w:r w:rsidRPr="005B4D97">
        <w:rPr>
          <w:rFonts w:ascii="仿宋" w:eastAsia="仿宋" w:hAnsi="仿宋" w:cs="Calibri" w:hint="eastAsia"/>
          <w:sz w:val="28"/>
          <w:szCs w:val="32"/>
        </w:rPr>
        <w:t>已经参加企业职工养老保险的退休人员调整所需资金，从企业职工基本养老保险基金中列支。已经参加机关事业单位养老保险的退休人员调整所需资金从机关事业单位养老保险基金中列支。未参加职工养老保险的，调整基本养老金所需资金仍按原渠道解决。</w:t>
      </w:r>
    </w:p>
    <w:p w:rsidR="00F76B81" w:rsidRPr="005B4D97" w:rsidRDefault="00F76B81" w:rsidP="00D6090F">
      <w:pPr>
        <w:pStyle w:val="a3"/>
        <w:shd w:val="clear" w:color="auto" w:fill="FFFFFF"/>
        <w:spacing w:line="440" w:lineRule="exact"/>
        <w:ind w:firstLine="640"/>
        <w:jc w:val="both"/>
        <w:rPr>
          <w:rFonts w:ascii="Calibri" w:eastAsia="微软雅黑" w:hAnsi="Calibri" w:cs="Calibri"/>
          <w:b/>
          <w:sz w:val="20"/>
          <w:szCs w:val="21"/>
        </w:rPr>
      </w:pPr>
      <w:r w:rsidRPr="005B4D97">
        <w:rPr>
          <w:rFonts w:ascii="仿宋" w:eastAsia="仿宋" w:hAnsi="仿宋" w:cs="Calibri" w:hint="eastAsia"/>
          <w:b/>
          <w:sz w:val="28"/>
          <w:szCs w:val="32"/>
        </w:rPr>
        <w:t>八、退休人员何时能拿到增加的养老金?</w:t>
      </w:r>
    </w:p>
    <w:p w:rsidR="00F76B81" w:rsidRPr="005B4D97" w:rsidRDefault="00F76B81" w:rsidP="00D6090F">
      <w:pPr>
        <w:pStyle w:val="a3"/>
        <w:shd w:val="clear" w:color="auto" w:fill="FFFFFF"/>
        <w:spacing w:line="440" w:lineRule="exact"/>
        <w:ind w:firstLine="640"/>
        <w:jc w:val="both"/>
        <w:rPr>
          <w:rFonts w:ascii="Calibri" w:eastAsia="微软雅黑" w:hAnsi="Calibri" w:cs="Calibri"/>
          <w:sz w:val="20"/>
          <w:szCs w:val="21"/>
        </w:rPr>
      </w:pPr>
      <w:r w:rsidRPr="005B4D97">
        <w:rPr>
          <w:rFonts w:ascii="仿宋" w:eastAsia="仿宋" w:hAnsi="仿宋" w:cs="Calibri" w:hint="eastAsia"/>
          <w:sz w:val="28"/>
          <w:szCs w:val="32"/>
        </w:rPr>
        <w:t>目前，各级人力资源社会保障、财政部门正在调试发放系统，调度落实资金，抓紧组织实施，确保7月底前参保人员增加的基本养老金发放到位。各地发放到位时间可能不尽相同，但对退休人员而言，无论各地在何时开始组织发放，都将从2020年1月1日起补发。</w:t>
      </w:r>
    </w:p>
    <w:bookmarkEnd w:id="0"/>
    <w:p w:rsidR="00E731A1" w:rsidRPr="005B4D97" w:rsidRDefault="00E731A1" w:rsidP="00D6090F">
      <w:pPr>
        <w:spacing w:line="440" w:lineRule="exact"/>
        <w:rPr>
          <w:sz w:val="20"/>
        </w:rPr>
      </w:pPr>
    </w:p>
    <w:sectPr w:rsidR="00E731A1" w:rsidRPr="005B4D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96" w:rsidRDefault="00767B96" w:rsidP="005B4D97">
      <w:r>
        <w:separator/>
      </w:r>
    </w:p>
  </w:endnote>
  <w:endnote w:type="continuationSeparator" w:id="0">
    <w:p w:rsidR="00767B96" w:rsidRDefault="00767B96" w:rsidP="005B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96" w:rsidRDefault="00767B96" w:rsidP="005B4D97">
      <w:r>
        <w:separator/>
      </w:r>
    </w:p>
  </w:footnote>
  <w:footnote w:type="continuationSeparator" w:id="0">
    <w:p w:rsidR="00767B96" w:rsidRDefault="00767B96" w:rsidP="005B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17"/>
    <w:rsid w:val="005B4D97"/>
    <w:rsid w:val="00680017"/>
    <w:rsid w:val="00767B96"/>
    <w:rsid w:val="00D6090F"/>
    <w:rsid w:val="00E731A1"/>
    <w:rsid w:val="00F7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B81"/>
    <w:pPr>
      <w:widowControl/>
      <w:jc w:val="left"/>
    </w:pPr>
    <w:rPr>
      <w:rFonts w:ascii="宋体" w:eastAsia="宋体" w:hAnsi="宋体" w:cs="宋体"/>
      <w:kern w:val="0"/>
      <w:sz w:val="24"/>
      <w:szCs w:val="24"/>
    </w:rPr>
  </w:style>
  <w:style w:type="paragraph" w:styleId="a4">
    <w:name w:val="header"/>
    <w:basedOn w:val="a"/>
    <w:link w:val="Char"/>
    <w:uiPriority w:val="99"/>
    <w:unhideWhenUsed/>
    <w:rsid w:val="005B4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4D97"/>
    <w:rPr>
      <w:sz w:val="18"/>
      <w:szCs w:val="18"/>
    </w:rPr>
  </w:style>
  <w:style w:type="paragraph" w:styleId="a5">
    <w:name w:val="footer"/>
    <w:basedOn w:val="a"/>
    <w:link w:val="Char0"/>
    <w:uiPriority w:val="99"/>
    <w:unhideWhenUsed/>
    <w:rsid w:val="005B4D97"/>
    <w:pPr>
      <w:tabs>
        <w:tab w:val="center" w:pos="4153"/>
        <w:tab w:val="right" w:pos="8306"/>
      </w:tabs>
      <w:snapToGrid w:val="0"/>
      <w:jc w:val="left"/>
    </w:pPr>
    <w:rPr>
      <w:sz w:val="18"/>
      <w:szCs w:val="18"/>
    </w:rPr>
  </w:style>
  <w:style w:type="character" w:customStyle="1" w:styleId="Char0">
    <w:name w:val="页脚 Char"/>
    <w:basedOn w:val="a0"/>
    <w:link w:val="a5"/>
    <w:uiPriority w:val="99"/>
    <w:rsid w:val="005B4D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B81"/>
    <w:pPr>
      <w:widowControl/>
      <w:jc w:val="left"/>
    </w:pPr>
    <w:rPr>
      <w:rFonts w:ascii="宋体" w:eastAsia="宋体" w:hAnsi="宋体" w:cs="宋体"/>
      <w:kern w:val="0"/>
      <w:sz w:val="24"/>
      <w:szCs w:val="24"/>
    </w:rPr>
  </w:style>
  <w:style w:type="paragraph" w:styleId="a4">
    <w:name w:val="header"/>
    <w:basedOn w:val="a"/>
    <w:link w:val="Char"/>
    <w:uiPriority w:val="99"/>
    <w:unhideWhenUsed/>
    <w:rsid w:val="005B4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4D97"/>
    <w:rPr>
      <w:sz w:val="18"/>
      <w:szCs w:val="18"/>
    </w:rPr>
  </w:style>
  <w:style w:type="paragraph" w:styleId="a5">
    <w:name w:val="footer"/>
    <w:basedOn w:val="a"/>
    <w:link w:val="Char0"/>
    <w:uiPriority w:val="99"/>
    <w:unhideWhenUsed/>
    <w:rsid w:val="005B4D97"/>
    <w:pPr>
      <w:tabs>
        <w:tab w:val="center" w:pos="4153"/>
        <w:tab w:val="right" w:pos="8306"/>
      </w:tabs>
      <w:snapToGrid w:val="0"/>
      <w:jc w:val="left"/>
    </w:pPr>
    <w:rPr>
      <w:sz w:val="18"/>
      <w:szCs w:val="18"/>
    </w:rPr>
  </w:style>
  <w:style w:type="character" w:customStyle="1" w:styleId="Char0">
    <w:name w:val="页脚 Char"/>
    <w:basedOn w:val="a0"/>
    <w:link w:val="a5"/>
    <w:uiPriority w:val="99"/>
    <w:rsid w:val="005B4D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98861">
      <w:bodyDiv w:val="1"/>
      <w:marLeft w:val="0"/>
      <w:marRight w:val="0"/>
      <w:marTop w:val="0"/>
      <w:marBottom w:val="0"/>
      <w:divBdr>
        <w:top w:val="none" w:sz="0" w:space="0" w:color="auto"/>
        <w:left w:val="none" w:sz="0" w:space="0" w:color="auto"/>
        <w:bottom w:val="none" w:sz="0" w:space="0" w:color="auto"/>
        <w:right w:val="none" w:sz="0" w:space="0" w:color="auto"/>
      </w:divBdr>
      <w:divsChild>
        <w:div w:id="1409769540">
          <w:marLeft w:val="0"/>
          <w:marRight w:val="0"/>
          <w:marTop w:val="0"/>
          <w:marBottom w:val="0"/>
          <w:divBdr>
            <w:top w:val="none" w:sz="0" w:space="0" w:color="auto"/>
            <w:left w:val="none" w:sz="0" w:space="0" w:color="auto"/>
            <w:bottom w:val="none" w:sz="0" w:space="0" w:color="auto"/>
            <w:right w:val="none" w:sz="0" w:space="0" w:color="auto"/>
          </w:divBdr>
          <w:divsChild>
            <w:div w:id="259604180">
              <w:marLeft w:val="0"/>
              <w:marRight w:val="0"/>
              <w:marTop w:val="0"/>
              <w:marBottom w:val="0"/>
              <w:divBdr>
                <w:top w:val="none" w:sz="0" w:space="0" w:color="auto"/>
                <w:left w:val="none" w:sz="0" w:space="0" w:color="auto"/>
                <w:bottom w:val="none" w:sz="0" w:space="0" w:color="auto"/>
                <w:right w:val="none" w:sz="0" w:space="0" w:color="auto"/>
              </w:divBdr>
              <w:divsChild>
                <w:div w:id="293607212">
                  <w:marLeft w:val="0"/>
                  <w:marRight w:val="0"/>
                  <w:marTop w:val="0"/>
                  <w:marBottom w:val="450"/>
                  <w:divBdr>
                    <w:top w:val="single" w:sz="18" w:space="15" w:color="F08300"/>
                    <w:left w:val="single" w:sz="6" w:space="23" w:color="E4E4E4"/>
                    <w:bottom w:val="single" w:sz="6" w:space="15" w:color="E4E4E4"/>
                    <w:right w:val="single" w:sz="6" w:space="23" w:color="E4E4E4"/>
                  </w:divBdr>
                  <w:divsChild>
                    <w:div w:id="970012713">
                      <w:marLeft w:val="0"/>
                      <w:marRight w:val="0"/>
                      <w:marTop w:val="0"/>
                      <w:marBottom w:val="0"/>
                      <w:divBdr>
                        <w:top w:val="none" w:sz="0" w:space="0" w:color="auto"/>
                        <w:left w:val="none" w:sz="0" w:space="0" w:color="auto"/>
                        <w:bottom w:val="none" w:sz="0" w:space="0" w:color="auto"/>
                        <w:right w:val="none" w:sz="0" w:space="0" w:color="auto"/>
                      </w:divBdr>
                      <w:divsChild>
                        <w:div w:id="1626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BZhu</dc:creator>
  <cp:keywords/>
  <dc:description/>
  <cp:lastModifiedBy>BZhu</cp:lastModifiedBy>
  <cp:revision>4</cp:revision>
  <dcterms:created xsi:type="dcterms:W3CDTF">2020-07-09T06:17:00Z</dcterms:created>
  <dcterms:modified xsi:type="dcterms:W3CDTF">2020-07-13T02:33:00Z</dcterms:modified>
</cp:coreProperties>
</file>