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left="318" w:hanging="156"/>
        <w:jc w:val="center"/>
        <w:rPr>
          <w:rFonts w:ascii="方正小标宋简体" w:eastAsia="方正小标宋简体" w:hAnsi="仿宋" w:cs="Calibri"/>
          <w:spacing w:val="2"/>
          <w:sz w:val="32"/>
          <w:szCs w:val="32"/>
        </w:rPr>
      </w:pPr>
      <w:bookmarkStart w:id="0" w:name="_GoBack"/>
      <w:r w:rsidRPr="00BB0AA9">
        <w:rPr>
          <w:rFonts w:ascii="方正小标宋简体" w:eastAsia="方正小标宋简体" w:hAnsi="微软雅黑" w:cs="Arial" w:hint="eastAsia"/>
          <w:sz w:val="36"/>
          <w:szCs w:val="36"/>
        </w:rPr>
        <w:t>关于2020年调整退休人员</w:t>
      </w:r>
      <w:r w:rsidRPr="00BB0AA9">
        <w:rPr>
          <w:rFonts w:ascii="方正小标宋简体" w:eastAsia="方正小标宋简体" w:hAnsi="微软雅黑" w:cs="Arial" w:hint="eastAsia"/>
          <w:sz w:val="36"/>
          <w:szCs w:val="36"/>
        </w:rPr>
        <w:br/>
        <w:t>基本养老金的通知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left="318" w:hanging="156"/>
        <w:jc w:val="center"/>
        <w:rPr>
          <w:rFonts w:ascii="Calibri" w:hAnsi="Calibri" w:cs="Calibri"/>
          <w:sz w:val="20"/>
          <w:szCs w:val="21"/>
        </w:rPr>
      </w:pPr>
      <w:proofErr w:type="gramStart"/>
      <w:r w:rsidRPr="00BB0AA9">
        <w:rPr>
          <w:rFonts w:ascii="仿宋" w:eastAsia="仿宋" w:hAnsi="仿宋" w:cs="Calibri" w:hint="eastAsia"/>
          <w:spacing w:val="2"/>
          <w:sz w:val="28"/>
          <w:szCs w:val="32"/>
        </w:rPr>
        <w:t>皖人社发</w:t>
      </w:r>
      <w:proofErr w:type="gramEnd"/>
      <w:r w:rsidRPr="00BB0AA9">
        <w:rPr>
          <w:rFonts w:ascii="仿宋" w:eastAsia="仿宋" w:hAnsi="仿宋" w:cs="Calibri" w:hint="eastAsia"/>
          <w:spacing w:val="2"/>
          <w:sz w:val="28"/>
          <w:szCs w:val="32"/>
        </w:rPr>
        <w:t>〔2020〕</w:t>
      </w:r>
      <w:r w:rsidRPr="00BB0AA9">
        <w:rPr>
          <w:rFonts w:ascii="仿宋" w:eastAsia="仿宋" w:hAnsi="仿宋" w:cs="Calibri" w:hint="eastAsia"/>
          <w:spacing w:val="8"/>
          <w:sz w:val="28"/>
          <w:szCs w:val="32"/>
        </w:rPr>
        <w:t>13</w:t>
      </w:r>
      <w:r w:rsidRPr="00BB0AA9">
        <w:rPr>
          <w:rFonts w:ascii="仿宋" w:eastAsia="仿宋" w:hAnsi="仿宋" w:cs="Calibri" w:hint="eastAsia"/>
          <w:spacing w:val="2"/>
          <w:sz w:val="28"/>
          <w:szCs w:val="32"/>
        </w:rPr>
        <w:t>号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hint="eastAsia"/>
          <w:sz w:val="28"/>
          <w:szCs w:val="32"/>
        </w:rPr>
        <w:t> </w:t>
      </w:r>
      <w:r w:rsidRPr="00BB0AA9">
        <w:rPr>
          <w:rFonts w:ascii="仿宋" w:eastAsia="仿宋" w:hAnsi="仿宋" w:cs="Calibri" w:hint="eastAsia"/>
          <w:sz w:val="28"/>
          <w:szCs w:val="32"/>
        </w:rPr>
        <w:t>各市、县(市、区)人民政府，省直各单位，中央驻皖有关单位：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根据人力资源社会保障部、财政部《关于2020年调整退休人员基本养老金的通知》(</w:t>
      </w:r>
      <w:proofErr w:type="gramStart"/>
      <w:r w:rsidRPr="00BB0AA9">
        <w:rPr>
          <w:rFonts w:ascii="仿宋" w:eastAsia="仿宋" w:hAnsi="仿宋" w:cs="Calibri" w:hint="eastAsia"/>
          <w:sz w:val="28"/>
          <w:szCs w:val="32"/>
        </w:rPr>
        <w:t>人社部</w:t>
      </w:r>
      <w:proofErr w:type="gramEnd"/>
      <w:r w:rsidRPr="00BB0AA9">
        <w:rPr>
          <w:rFonts w:ascii="仿宋" w:eastAsia="仿宋" w:hAnsi="仿宋" w:cs="Calibri" w:hint="eastAsia"/>
          <w:sz w:val="28"/>
          <w:szCs w:val="32"/>
        </w:rPr>
        <w:t>发〔2020〕22号)规定，经省政府同意并报人力资源社会保障部、财政部批准，从2020年1月1日起调整我省企业和机关事业单位退休人员(含退职人员，下同，以下简称退休人员)基本养老金水平。现就有关事项通知如下：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b/>
          <w:sz w:val="20"/>
          <w:szCs w:val="21"/>
        </w:rPr>
      </w:pPr>
      <w:r w:rsidRPr="00BB0AA9">
        <w:rPr>
          <w:rFonts w:ascii="仿宋" w:eastAsia="仿宋" w:hAnsi="仿宋" w:cs="Calibri" w:hint="eastAsia"/>
          <w:b/>
          <w:sz w:val="28"/>
          <w:szCs w:val="32"/>
        </w:rPr>
        <w:t>一、调整对象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2019年12月31日前已按规定办理退休手续的退休人员。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b/>
          <w:sz w:val="20"/>
          <w:szCs w:val="21"/>
        </w:rPr>
      </w:pPr>
      <w:r w:rsidRPr="00BB0AA9">
        <w:rPr>
          <w:rFonts w:ascii="仿宋" w:eastAsia="仿宋" w:hAnsi="仿宋" w:cs="Calibri" w:hint="eastAsia"/>
          <w:b/>
          <w:sz w:val="28"/>
          <w:szCs w:val="32"/>
        </w:rPr>
        <w:t>二、调整办法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调整的基本养老金包括定额部分、挂钩部分和倾斜部分。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1.定额部分。每人每月增加45元。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2.挂钩部分。按本人缴费年限和本人2019年12月份基本养老金水平增加：缴费年限(含视同缴费年限，不含特殊工种折算工龄;累计缴费年限尾数不足1年的按1年计算)每满1年，每人每月增加2元;每人每月增加本人基本养老金的1.0%(见</w:t>
      </w:r>
      <w:proofErr w:type="gramStart"/>
      <w:r w:rsidRPr="00BB0AA9">
        <w:rPr>
          <w:rFonts w:ascii="仿宋" w:eastAsia="仿宋" w:hAnsi="仿宋" w:cs="Calibri" w:hint="eastAsia"/>
          <w:sz w:val="28"/>
          <w:szCs w:val="32"/>
        </w:rPr>
        <w:t>角进元</w:t>
      </w:r>
      <w:proofErr w:type="gramEnd"/>
      <w:r w:rsidRPr="00BB0AA9">
        <w:rPr>
          <w:rFonts w:ascii="仿宋" w:eastAsia="仿宋" w:hAnsi="仿宋" w:cs="Calibri" w:hint="eastAsia"/>
          <w:sz w:val="28"/>
          <w:szCs w:val="32"/>
        </w:rPr>
        <w:t>)。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3.倾斜部分。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截至2019年12月31日，年满70—74周岁、75—79周岁、80—84周岁和85周岁及以上的企业退休人员，高龄倾斜标准分别为140元、180元、280元、390元，在以前年度调整基本养老金时已经享受过高龄倾斜的人员，达不到上述标准的补齐到上述标准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截至2019年12月31日，年满70—74周岁、75—79周岁、80—84周岁和85周岁及以上的机关事业单位退休人员，高龄倾斜标准分别为100元、130元、210元和290元，在以前年度调整基本养老金时已经享受过高龄倾斜的人员，达不到上述标准的补齐到上述标准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b/>
          <w:sz w:val="20"/>
          <w:szCs w:val="21"/>
        </w:rPr>
      </w:pPr>
      <w:r w:rsidRPr="00BB0AA9">
        <w:rPr>
          <w:rFonts w:ascii="仿宋" w:eastAsia="仿宋" w:hAnsi="仿宋" w:cs="Calibri" w:hint="eastAsia"/>
          <w:b/>
          <w:sz w:val="28"/>
          <w:szCs w:val="32"/>
        </w:rPr>
        <w:t>三、资金来源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调整基本养老金所需资金，参加企业职工基本养老保险的，从企业职工基本养老保险基金中列支;参加机关事业单位基本养老保险</w:t>
      </w:r>
      <w:r w:rsidRPr="00BB0AA9">
        <w:rPr>
          <w:rFonts w:ascii="仿宋" w:eastAsia="仿宋" w:hAnsi="仿宋" w:cs="Calibri" w:hint="eastAsia"/>
          <w:sz w:val="28"/>
          <w:szCs w:val="32"/>
        </w:rPr>
        <w:lastRenderedPageBreak/>
        <w:t>的，从机关事业单位基本养老保险基金中列支。未参加职工基本养老保险的，调整所需资金由原渠道解决。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b/>
          <w:sz w:val="20"/>
          <w:szCs w:val="21"/>
        </w:rPr>
      </w:pPr>
      <w:r w:rsidRPr="00BB0AA9">
        <w:rPr>
          <w:rFonts w:ascii="仿宋" w:eastAsia="仿宋" w:hAnsi="仿宋" w:cs="Calibri" w:hint="eastAsia"/>
          <w:b/>
          <w:sz w:val="28"/>
          <w:szCs w:val="32"/>
        </w:rPr>
        <w:t>四、组织实施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调整退休人员基本养老金，是提高保障和改善民生水平的重要措施，体现了党中央、国务院及省委、省政府对广大退休人员的亲切关怀。各地区、各单位要高度重视，切实加强领导，精心组织实施，加强政策宣传解读，及时调度落实资金，畅通发放渠道，确保7月底前将参保人员增加的基本养老金发放到位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各地要严格按照省统一规定落实调整政策，不得自行提高调整水平，突破调整政策。对自行提高调整水平、突破调整政策、存在违规一次性补缴或违规办理提前退休的地区，将予以批评问责，并相应扣减省级拨付资金。工作中遇有重大问题，请及时向省人力资源社会保障厅、省财政厅报告。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hint="eastAsia"/>
          <w:sz w:val="28"/>
          <w:szCs w:val="32"/>
        </w:rPr>
        <w:t> 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hint="eastAsia"/>
          <w:sz w:val="28"/>
          <w:szCs w:val="32"/>
        </w:rPr>
        <w:t> 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Calibri" w:hAnsi="Calibri" w:cs="Calibri"/>
          <w:sz w:val="20"/>
          <w:szCs w:val="21"/>
        </w:rPr>
      </w:pPr>
      <w:r w:rsidRPr="00BB0AA9">
        <w:rPr>
          <w:rFonts w:hint="eastAsia"/>
          <w:sz w:val="28"/>
          <w:szCs w:val="32"/>
        </w:rPr>
        <w:t> 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jc w:val="right"/>
        <w:rPr>
          <w:rFonts w:ascii="Calibri" w:hAnsi="Calibri" w:cs="Calibri"/>
          <w:sz w:val="20"/>
          <w:szCs w:val="21"/>
        </w:rPr>
      </w:pPr>
      <w:r w:rsidRPr="00BB0AA9">
        <w:rPr>
          <w:rFonts w:hint="eastAsia"/>
          <w:sz w:val="28"/>
          <w:szCs w:val="32"/>
        </w:rPr>
        <w:t>     </w:t>
      </w:r>
      <w:r w:rsidRPr="00BB0AA9">
        <w:rPr>
          <w:rStyle w:val="apple-converted-space"/>
          <w:rFonts w:hint="eastAsia"/>
          <w:sz w:val="28"/>
          <w:szCs w:val="32"/>
        </w:rPr>
        <w:t> </w:t>
      </w:r>
      <w:r w:rsidRPr="00BB0AA9">
        <w:rPr>
          <w:rFonts w:ascii="仿宋" w:eastAsia="仿宋" w:hAnsi="仿宋" w:cs="Calibri" w:hint="eastAsia"/>
          <w:sz w:val="28"/>
          <w:szCs w:val="32"/>
        </w:rPr>
        <w:t>安徽省人力资源和社会保障厅</w:t>
      </w:r>
      <w:r w:rsidRPr="00BB0AA9">
        <w:rPr>
          <w:rFonts w:hint="eastAsia"/>
          <w:sz w:val="28"/>
          <w:szCs w:val="32"/>
        </w:rPr>
        <w:t> </w:t>
      </w:r>
      <w:r w:rsidRPr="00BB0AA9">
        <w:rPr>
          <w:rStyle w:val="apple-converted-space"/>
          <w:rFonts w:hint="eastAsia"/>
          <w:sz w:val="28"/>
          <w:szCs w:val="32"/>
        </w:rPr>
        <w:t> </w:t>
      </w:r>
      <w:r w:rsidRPr="00BB0AA9">
        <w:rPr>
          <w:rFonts w:ascii="仿宋" w:eastAsia="仿宋" w:hAnsi="仿宋" w:cs="Calibri" w:hint="eastAsia"/>
          <w:sz w:val="28"/>
          <w:szCs w:val="32"/>
        </w:rPr>
        <w:t>安徽省财政厅</w:t>
      </w:r>
    </w:p>
    <w:p w:rsidR="0036101C" w:rsidRPr="00BB0AA9" w:rsidRDefault="0036101C" w:rsidP="0036101C">
      <w:pPr>
        <w:pStyle w:val="a3"/>
        <w:shd w:val="clear" w:color="auto" w:fill="FFFFFF"/>
        <w:spacing w:before="0" w:beforeAutospacing="0" w:after="0" w:afterAutospacing="0" w:line="440" w:lineRule="exact"/>
        <w:ind w:firstLine="6080"/>
        <w:jc w:val="right"/>
        <w:rPr>
          <w:rFonts w:ascii="Calibri" w:hAnsi="Calibri" w:cs="Calibri"/>
          <w:sz w:val="20"/>
          <w:szCs w:val="21"/>
        </w:rPr>
      </w:pPr>
      <w:r w:rsidRPr="00BB0AA9">
        <w:rPr>
          <w:rFonts w:ascii="仿宋" w:eastAsia="仿宋" w:hAnsi="仿宋" w:cs="Calibri" w:hint="eastAsia"/>
          <w:sz w:val="28"/>
          <w:szCs w:val="32"/>
        </w:rPr>
        <w:t>2020年7月6日</w:t>
      </w:r>
      <w:r w:rsidRPr="00BB0AA9">
        <w:rPr>
          <w:rFonts w:ascii="仿宋" w:eastAsia="仿宋" w:hAnsi="仿宋" w:cs="Calibri" w:hint="eastAsia"/>
          <w:sz w:val="28"/>
          <w:szCs w:val="32"/>
        </w:rPr>
        <w:t> </w:t>
      </w:r>
      <w:r w:rsidRPr="00BB0AA9">
        <w:rPr>
          <w:rFonts w:ascii="仿宋" w:eastAsia="仿宋" w:hAnsi="仿宋" w:cs="Calibri" w:hint="eastAsia"/>
          <w:sz w:val="28"/>
          <w:szCs w:val="32"/>
        </w:rPr>
        <w:t> </w:t>
      </w:r>
      <w:r w:rsidRPr="00BB0AA9">
        <w:rPr>
          <w:rFonts w:ascii="仿宋" w:eastAsia="仿宋" w:hAnsi="仿宋" w:cs="Calibri" w:hint="eastAsia"/>
          <w:sz w:val="28"/>
          <w:szCs w:val="32"/>
        </w:rPr>
        <w:t> </w:t>
      </w:r>
      <w:r w:rsidRPr="00BB0AA9">
        <w:rPr>
          <w:rFonts w:ascii="仿宋" w:eastAsia="仿宋" w:hAnsi="仿宋" w:cs="Calibri" w:hint="eastAsia"/>
          <w:sz w:val="28"/>
          <w:szCs w:val="32"/>
        </w:rPr>
        <w:t> </w:t>
      </w:r>
      <w:r w:rsidRPr="00BB0AA9">
        <w:rPr>
          <w:rFonts w:ascii="仿宋" w:eastAsia="仿宋" w:hAnsi="仿宋" w:cs="Calibri" w:hint="eastAsia"/>
          <w:sz w:val="28"/>
          <w:szCs w:val="32"/>
        </w:rPr>
        <w:t> </w:t>
      </w:r>
    </w:p>
    <w:bookmarkEnd w:id="0"/>
    <w:p w:rsidR="007553AA" w:rsidRPr="00BB0AA9" w:rsidRDefault="007553AA" w:rsidP="0036101C">
      <w:pPr>
        <w:spacing w:line="440" w:lineRule="exact"/>
      </w:pPr>
    </w:p>
    <w:sectPr w:rsidR="007553AA" w:rsidRPr="00BB0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14" w:rsidRDefault="007D6414" w:rsidP="00BB0AA9">
      <w:r>
        <w:separator/>
      </w:r>
    </w:p>
  </w:endnote>
  <w:endnote w:type="continuationSeparator" w:id="0">
    <w:p w:rsidR="007D6414" w:rsidRDefault="007D6414" w:rsidP="00B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14" w:rsidRDefault="007D6414" w:rsidP="00BB0AA9">
      <w:r>
        <w:separator/>
      </w:r>
    </w:p>
  </w:footnote>
  <w:footnote w:type="continuationSeparator" w:id="0">
    <w:p w:rsidR="007D6414" w:rsidRDefault="007D6414" w:rsidP="00B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B"/>
    <w:rsid w:val="0036101C"/>
    <w:rsid w:val="007553AA"/>
    <w:rsid w:val="007D6414"/>
    <w:rsid w:val="0093796D"/>
    <w:rsid w:val="00953906"/>
    <w:rsid w:val="00BB0AA9"/>
    <w:rsid w:val="00CB0A1D"/>
    <w:rsid w:val="00D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101C"/>
  </w:style>
  <w:style w:type="paragraph" w:styleId="a4">
    <w:name w:val="header"/>
    <w:basedOn w:val="a"/>
    <w:link w:val="Char"/>
    <w:uiPriority w:val="99"/>
    <w:unhideWhenUsed/>
    <w:rsid w:val="00BB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A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101C"/>
  </w:style>
  <w:style w:type="paragraph" w:styleId="a4">
    <w:name w:val="header"/>
    <w:basedOn w:val="a"/>
    <w:link w:val="Char"/>
    <w:uiPriority w:val="99"/>
    <w:unhideWhenUsed/>
    <w:rsid w:val="00BB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A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BZhu</dc:creator>
  <cp:keywords/>
  <dc:description/>
  <cp:lastModifiedBy>BZhu</cp:lastModifiedBy>
  <cp:revision>8</cp:revision>
  <dcterms:created xsi:type="dcterms:W3CDTF">2020-07-09T03:42:00Z</dcterms:created>
  <dcterms:modified xsi:type="dcterms:W3CDTF">2020-07-13T02:33:00Z</dcterms:modified>
</cp:coreProperties>
</file>